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413D84EB" w:rsidR="00AC52C6" w:rsidRPr="00AC52C6" w:rsidRDefault="00AE7806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E780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Proračun Općine Pićan za 2026. i projekcije za 2027. i 2028. g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3F4A9605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AE780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14. studenoga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52DA74A5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AE780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05. prosinca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52FF2"/>
    <w:rsid w:val="000618A7"/>
    <w:rsid w:val="000A3702"/>
    <w:rsid w:val="000B009E"/>
    <w:rsid w:val="000D1DCD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A040EC"/>
    <w:rsid w:val="00A123A5"/>
    <w:rsid w:val="00A46186"/>
    <w:rsid w:val="00AC52C6"/>
    <w:rsid w:val="00AC78E9"/>
    <w:rsid w:val="00AE7806"/>
    <w:rsid w:val="00B41BF8"/>
    <w:rsid w:val="00BD3DD1"/>
    <w:rsid w:val="00C34A05"/>
    <w:rsid w:val="00C50DE1"/>
    <w:rsid w:val="00CC5119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28</cp:revision>
  <dcterms:created xsi:type="dcterms:W3CDTF">2020-10-30T11:41:00Z</dcterms:created>
  <dcterms:modified xsi:type="dcterms:W3CDTF">2025-11-14T12:00:00Z</dcterms:modified>
</cp:coreProperties>
</file>