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8a635e5324f4811"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35319</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PIĆAN</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1.846.648,49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2.208.644,40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1.503.239,78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1.893.297,20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343.408,71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315.347,20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91,8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66.216,45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95.976,32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285.125,23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463.470,38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218.908,78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367.494,06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167,9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92.868,00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92.868,00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98.695,92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150.842,78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razdoblju od 1. siječnja do 31. prosinca 2025. godine prihodi poslovanja ostavareni su u ukupnom iznosu od 2.208.644,40 eura. Najznačajnije povećanje prihoda čini povećanje poreznih prihoda. Najveće povećanje poreznih prihoda ostvareno je kod poreza na dohodak od nesamostalnog rada zbog povećanja plaća, poreza na dohodak od kapitala i poreza na nekretnine koji se prethodne godine nije naplaćivao. U 2025. godini znatno je ostavaren i porez na godišnjoj prijavi kao i povrat poreza na dohodak po godišnjoj prijavi. Pomoći iz inozemstva i subjekata unutar općeg proračuna i prihodi od imovine u odnosnu na prethodnu godinu nisu se znatno mijenjali. U 2025. godini veće ostvarenje prihoda očituje se kod prihoda od komunalnog doprinosa jer je Općinsko vijeće Općine Pićan  donijelo novu Odluku o visini jedinične cijene po metru kubičnom za obračun komunalnog doprinosa, odnosno o povećanju cijene. Također, ostvaren je veći prihod od komunalne naknade iz razloga što je Općinsko vijeće Općine Pićan krajem 2024. godine donijelo novu Odluku o visini boda za obračun komunalne naknade. Rashodi poslovanja Općine Pićan za razdoblje od 01. siječnja do 31. prosinca 2025. godine ostvareni su u ukupnom iznosu od 1.893.297,20 eura, odnosno 390.057,42 eura više nego u istom razdobolju prethodne godine ili 25,9%. Povećanje rashoda dolazi do izražaja kod plaća za zaposlene zbog povećanja plaća izmjenom koeficijenata i povećanjem bruto osnovice. Povećanje rashoda u odnosu na prethodnu godinu vidljivo je i kod materijalnih rashoda, a najviše na rashodima za usluge tekućeg i investicijskog održavanje te na intelektualnim uslugama. Kod ostalih nespomenutih rashoda poslovanja povećanje je izraženo kod naknada za rad predstavničkih i izvršnih tijela, povjerenstva i slično, a odnosi se na isplaćene naknade ra rad biračkih odbora i općinskog izbornog povjerenstva radi provedenih lokalnih izbora. U odnosu na prethodnu godinu više su ostvarene i pomoći proračunskim korisnicima drugih proračuna, a najveće povećanje odnosi se na pomoć Javnoj vatrogasnoj postrojbi Labin, također zbog povećanja plaća. Zbog povećanja plaća i promjene koeficijenta za obračun plaća, a u skladu s Zakonom, povećani su iznosi prijenosa sredstava proračunskom korisniku Dječjem vrtiću "Lišnjak", pa su ukupna prenesena sredstva proračunskom korisniku u 2025. godini iznosila 460.090,00 eura, odnosno 114.424,00 eura više nego prethodne godine.  U 2025. godini značajno su ostvareni rashodi za kapitalne pomoći trgovačkim društvima u javnom sektoru za obnovu i uređenje komunalne infrastrukture na području Općine Pićan, a koja nije u nadležnosti općine i to u ukupnom iznosu od 114.163,00 eura. U razdoblju od 01. siječnja do 31. prosinca 2025. godine u iznosu od 95.976,32 eura ostvareni su prihodi od prodaje nefinancijske imovine, od toga 87.918,90 eura za prodana zemljišta i 8.057,42 eura od prodaje stambenih objekata. Obje prodaje sklopljene su kupoprodajnim ugovorom s obročnom otplatom. Rashodi za nabavu nefinancijske imovine u nevedenom razdoblju ostvareni su u ukupnom iznosu od 218.675,50 eura, odnosno 57.339,73 eura manje nego u istom razdoblju prethodne godine. Manje su ostvareni rashodi za asfaltiranje cesta te rashodi za nabavu opreme. Rashodi za dodatna ulaganja na nefinancijskoj imovini ostavreni su u iznosu od 210.350,78 eura, a odnose se na energetsku obnovu škole u Tupljaku i sanaciju mosta na slapu Sopot. Primici od financijske imovine i zaduživanja u navedenom razdoblju nisu ostvareni, a izdaci za financijsku imovinu i otplate zajmova ostvareni su u iznosu od 98.695,92 eura.</w:t>
      </w:r>
    </w:p>
    <w:p>
      <w:r>
        <w:t xml:space="preserve">U razdoblju od 01. siječnja do 31. prosinca 2025. godine ostavren je višak prihoda poslovanja u iznosu od 315.347,20 eura, manjak prihoda od nefinancijske imovine u iznosu od 367.494,06 eura i manjak od financijske imovine u iznosu od 98.695,92 eura, slijedmo čega je na kraju izvještajnog razdoblja ostvaren manjak prihoda i primitaka u iznosu od 150.842,78 eura. Kada ostvarenom manjku tekućeg razdoblja pribrojimo višak iz prethodne godine u iznosu od 212.204,60 eura ostaje nam višak prihoda i primitaka za buduće razdoblje u iznosu od 61.361,82 eura.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poreza (šifre 611+612+613+614+615+616)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895.822,35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1.076.253,83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120,1</w:t>
            </w:r>
          </w:p>
        </w:tc>
      </w:tr>
    </w:tbl>
    <w:p>
      <w:pPr>
        <w:spacing w:before="0" w:after="0"/>
      </w:pPr>
    </w:p>
    <w:p>
      <w:r>
        <w:t xml:space="preserve">U odnosu na prethodnu godinu porezni su prihodi ostvareni više za 20,1%. Najveće povećanje poreznih prihoda evidentirano je na porezima na dohodak od nesamostalnog rada i to za 17% zbog povećanja plaća, porezima na dohodak od kapitala i povremenih poreza na imovinu, odnosno na porez na nekretnine.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129.633,43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136.318,69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105,2</w:t>
            </w:r>
          </w:p>
        </w:tc>
      </w:tr>
    </w:tbl>
    <w:p>
      <w:pPr>
        <w:spacing w:before="0" w:after="0"/>
      </w:pPr>
    </w:p>
    <w:p>
      <w:r>
        <w:t xml:space="preserve">U odnosu na prethodnu godinu pomoći su ostvarene za 6.685,26 eura više, odnosno ostvarene su u ukupnom iznosu od 136.318,69 eura. Ostvarene pomoći odnose se na tekuće pomoći iz državnog proračuna za fisklanu održivost vrtića u ukupnom iznosu od 15.252,00 eura, tekuće pomoći iz županijskog proračuna za sufinanciranje festivala Šćorice u iznosu od 9.000,00 eura, za sufinanciranje loklanih izbora u iznosu od 10.482,00 eura, 2.000,00 eura za manifestaciju Smotra maslinovog ulja istočne Istre te 5.000,00 eura za nastavak uređenja staze Sv. Roka. U 2025. godini ostvarena je i kapitalna pomoć iz državnog proračuna za uređenje dječjeg igrališta pod nazivom "Igralište mašte" u iznosu od 14.455,54 eura  te kapitalna pomoć iz županijskog proračuna u iznosu od 5.000,00 eura za igralište u Pićnu. Pomoći izravanja za decentralizirane funkcije ostvarene su u iznosu od 26.585,67 eura, odnosno na razini prethodne godine, dok su pomoći fiskalnog izravanja ostvarene u iznosu od 48.543,48 eura, odnosno 13.349,11 eura više nego prethodne godine. Pomoći fiskalnog izravnanja prethodne godine knjižene su na drugi konto.</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167.487,18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175.391,42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104,7</w:t>
            </w:r>
          </w:p>
        </w:tc>
      </w:tr>
    </w:tbl>
    <w:p>
      <w:pPr>
        <w:spacing w:before="0" w:after="0"/>
      </w:pPr>
    </w:p>
    <w:p>
      <w:r>
        <w:t xml:space="preserve">Prihodi od imovine u tekućem razdoblju ostvareni su u ukupnom iznosu od 175.391,42 eura. Ostvareni iznos malo je veći u odnosu na prethodnu godinu iz razloga što su računi za zakup redovno podmireni. Ostvareni prihodi odnose se na prihode od zakupa zemljišta u poduzetničkoj zoni, naknade za korištenje prostorane elektrane Te Plomin, nakande građana za održavanje groblja i naknada za zadržavnje nezakonito izgrađenih zgrada.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Komunalni doprinosi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2.270,51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107.649,13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4741,2</w:t>
            </w:r>
          </w:p>
        </w:tc>
      </w:tr>
    </w:tbl>
    <w:p>
      <w:pPr>
        <w:spacing w:before="0" w:after="0"/>
      </w:pPr>
    </w:p>
    <w:p>
      <w:r>
        <w:t xml:space="preserve">U 2025. godini veće ostvarenje prihoda očituje se kod prihoda od komunalnog doprinosa jer je Općinsko vijeće Općine Pićan donijelo novu Odluku o visini jedinične cijene po metru kubičnom za obračun komunalnog doprinosa, odnosno o povećanju cijene. Isto tako u 2025. godini izdano je više Rješenja za komunalni doprinos, od čega je jedan s velikim iznosom s obzirom da se izdano Rješenje odnosni na izgradnju briketare u poduzetičkoj zoni.</w:t>
      </w:r>
    </w:p>
    <w:p>
      <w:r>
        <w:t xml:space="preserve">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620.382,23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685.878,45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110,6</w:t>
            </w:r>
          </w:p>
        </w:tc>
      </w:tr>
    </w:tbl>
    <w:p>
      <w:pPr>
        <w:spacing w:before="0" w:after="0"/>
      </w:pPr>
    </w:p>
    <w:p>
      <w:r>
        <w:t xml:space="preserve">U odnosu na prethodnu godinu ostvaren je veći prihod od komunalne naknade iz razloga što je Općinsko vijeće Općine Pićan krajem 2024. godine donijelo novu Odluku o visini boda za obračun komunalne naknade. </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14.236,36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18.864,00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132,5</w:t>
            </w:r>
          </w:p>
        </w:tc>
      </w:tr>
    </w:tbl>
    <w:p>
      <w:pPr>
        <w:spacing w:before="0" w:after="0"/>
      </w:pPr>
    </w:p>
    <w:p>
      <w:r>
        <w:t xml:space="preserve">U izvještajnom razdoblju ostvarene su tekuće donacije u ukupnom iznosu od 18.864,00 eura, a sastoje se od donacije tvrtke Rockwool za 10 tekućih projekata i aktivnosti u 2025. godini u iznosu od 8.000,00 eura, donacije OTP banke u iznosu od 700,00 eura za festival Šćorice te tvrtke Rockwool i G1 d.o.o. u iznosu od 1.400,00 eura te Turističke zajednice središnje Istre u iznosu od 2.664,00 eura, također za festival šćorice. u 2025. godini ostvarene su donacije od lokalnih poduzetnika u ukupnom iznosu od 6.100,00 eura kao sponzorstvo za održavanje i organizaciju pučke manifestacije "Rokova".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1.503.239,78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1.893.297,20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125,9</w:t>
            </w:r>
          </w:p>
        </w:tc>
      </w:tr>
    </w:tbl>
    <w:p>
      <w:pPr>
        <w:spacing w:before="0" w:after="0"/>
      </w:pPr>
    </w:p>
    <w:p>
      <w:r>
        <w:t xml:space="preserve">U odnosu na prethodnu godinu, iako je trenutni broj zaposlenih manji nego prethodne godine, na plaće za zaposlene utrošeno je više sredstava zbog povećanja plaća, odnosno bruto osnovice i promjene koeficijenta za obračun plaća.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183.758,71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223.360,33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121,6</w:t>
            </w:r>
          </w:p>
        </w:tc>
      </w:tr>
    </w:tbl>
    <w:p>
      <w:pPr>
        <w:spacing w:before="0" w:after="0"/>
      </w:pPr>
    </w:p>
    <w:p>
      <w:r>
        <w:t xml:space="preserve">Usluge tekućeg i inesticijskog održavanja ostavrene su za 20% više nego prethodne godine, a odnose se na usluge tekućeg i investicisjkog održavanja građevinskih objekata, održavanja postrojenja i opreme, usluge tekućeg održavanja prijevoznih sredstava, ostale usluge tekućeg i investicijskog održavanja, zimske službe, proljetne i jesenske košnje, održavanje nerazvrstanih asfaltiranih i makadamskih cesta i puteva, sanacija i slično.</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27.477,45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41.270,24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150,2</w:t>
            </w:r>
          </w:p>
        </w:tc>
      </w:tr>
    </w:tbl>
    <w:p>
      <w:pPr>
        <w:spacing w:before="0" w:after="0"/>
      </w:pPr>
    </w:p>
    <w:p>
      <w:r>
        <w:t xml:space="preserve">Rashodi za komunalne usluge veću su za čak 70% u odnosu na prethodnu godinu zbog povećanja cijena odvoza otpada.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12.747,15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29.420,12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230,8</w:t>
            </w:r>
          </w:p>
        </w:tc>
      </w:tr>
    </w:tbl>
    <w:p>
      <w:pPr>
        <w:spacing w:before="0" w:after="0"/>
      </w:pPr>
    </w:p>
    <w:p>
      <w:r>
        <w:t xml:space="preserve">Rashodi ove skupine u odnosu na prethodnu godinu su veći iz razloga što je 2025. godina bila izborna te su prpvedeni lokalni izbori i podmirene naknade članovima Općinskog izbornog povjerenstva i biračkih odbora.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Subvencije kreditnim i financijskim institucijama, trgovačkim društvima, zadrugama, poljoprivrednicima i obrtnicima izvan javnog sektora (šifre 3521 do 3523)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39.643,99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24.075,91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60,7</w:t>
            </w:r>
          </w:p>
        </w:tc>
      </w:tr>
    </w:tbl>
    <w:p>
      <w:pPr>
        <w:spacing w:before="0" w:after="0"/>
      </w:pPr>
    </w:p>
    <w:p>
      <w:r>
        <w:t xml:space="preserve">Subvencije su u odnosu na prethodnu godinu manje ostvarene jer u tekućoj godini nije bilo provedenog javnog natječaja za poljoprivrednike, odnosno opg-ovce.</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drugih proračuna (šifre 3661 do 3663)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115.579,86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168.754,26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146,0</w:t>
            </w:r>
          </w:p>
        </w:tc>
      </w:tr>
    </w:tbl>
    <w:p>
      <w:pPr>
        <w:spacing w:before="0" w:after="0"/>
      </w:pPr>
    </w:p>
    <w:p>
      <w:r>
        <w:t xml:space="preserve">Pomoći proračunskim korisnicima drugih proračuna ostvarene su više nego prethodne godine, a najveće povećanje se odnosi na prijendos sredstava proračunskom korisniku Dječji vrtić "Lišnjak" kojemu je u 2025. godini isplaćeno ukupno 460.090,00 eura za redovno poslovanje.</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kreditnim i ostalim financijskim institucijama te trgovačkim društvima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38.389,05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114.190,07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297,5</w:t>
            </w:r>
          </w:p>
        </w:tc>
      </w:tr>
    </w:tbl>
    <w:p>
      <w:pPr>
        <w:spacing w:before="0" w:after="0"/>
      </w:pPr>
    </w:p>
    <w:p>
      <w:r>
        <w:t xml:space="preserve">U odnosu na prethodnu godinu, 2025. godine ostavrene su kapitalne pomoći trgovačkim sruštvima u javnom sektoru u ukupnom iznosu 114.190,07 eura, a odnose se na kapitalnu pomoć za projektnu dokumentaciju vodovodnog ogranka Grobnik, sufinanciranje izvanrednog održavanja županijskih cesta, financiranje nabave polupodzemnih spremnika, kapitalne pomoći za vodovodni ogranak Jakomići i slično.</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Zemljište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56.068,25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87.918,90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156,8</w:t>
            </w:r>
          </w:p>
        </w:tc>
      </w:tr>
    </w:tbl>
    <w:p>
      <w:pPr>
        <w:spacing w:before="0" w:after="0"/>
      </w:pPr>
    </w:p>
    <w:p>
      <w:r>
        <w:t xml:space="preserve">Ostavareni prihod od prodaje zemljišta najvećim se udjelom odnosi na sklopljeni kupoprodajni ugovor u 2024. godini za zemljište u poduzetničkoj zoni.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Zemljište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34.444,10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Rashodi za nabavu nefinancijske imovine, a koji se odnose zemljište odnosi se na kupnju građevinskog zemljišta za potrebe izgradnje igrališta u Pićnu.</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Dodatna ulaganja na građevinskim objektima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9.110,00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210.350,78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2309,0</w:t>
            </w:r>
          </w:p>
        </w:tc>
      </w:tr>
    </w:tbl>
    <w:p>
      <w:pPr>
        <w:spacing w:before="0" w:after="0"/>
      </w:pPr>
    </w:p>
    <w:p>
      <w:r>
        <w:t xml:space="preserve">U odnosu na prethodnu godinu rashodi ove skupine znatno su veći, a odnose se na energetsku obnove škole u Tupljaku u iznosu od 158.478,81 eura i sanaciju mosta na slapu Sopot u iznosu od 55.207,83 eura.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92.868,00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106,3</w:t>
            </w:r>
          </w:p>
        </w:tc>
      </w:tr>
    </w:tbl>
    <w:p>
      <w:pPr>
        <w:spacing w:before="0" w:after="0"/>
      </w:pPr>
    </w:p>
    <w:p>
      <w:r>
        <w:t xml:space="preserve">Izdaci za financisjku imovinu i otplatu zajmova odnose se na podmirenje rata dugoročnog kredita za izgradnju i dovršetak vatrogasnog doma i rekonstrukciju javne rasvjete na području Općine Pićan. Općina Pićan sve svoje rate po kreditima podmiruje redovno.</w:t>
      </w:r>
    </w:p>
    <w:p/>
    <w:p>
      <w:pPr>
        <w:jc w:val="center"/>
        <w:pStyle w:val="Normal"/>
        <w:spacing w:line="240" w:lineRule="auto"/>
        <w:keepNext/>
      </w:pPr>
      <w:r>
        <w:rPr>
          <w:b/>
          <w:sz w:val="28"/>
          <w:rFonts w:ascii="Times New Roman" w:hAnsi="Times New Roman"/>
        </w:rPr>
        <w:t xml:space="preserve">Bilanca</w:t>
      </w:r>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Nefinancijska imovina (šifre 01+02+03+04+05+06)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8.631.440,30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8.874.302,82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102,8</w:t>
            </w:r>
          </w:p>
        </w:tc>
      </w:tr>
    </w:tbl>
    <w:p>
      <w:pPr>
        <w:spacing w:before="0" w:after="0"/>
      </w:pPr>
    </w:p>
    <w:p>
      <w:r>
        <w:t xml:space="preserve">Ukupna vrijednost nefinancijske imovine na dan 31.12.2025. godine 8.874.302,82, a sastoji se od neproizvedene dugotrajne imovine u iznosu od 3.688.076,75, proizvedene dugotrajne imovine u iznosu od 3.992.254,52, sitnog inventara u iznosu od 31.960,28 i dugotrajne nefinancijske imovine u pripremi u iznosu od 1.193.971,55.</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Financijska imovina (šifre 11+12+13+14+15+16+17+19)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625.566,84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445.304,29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71,2</w:t>
            </w:r>
          </w:p>
        </w:tc>
      </w:tr>
    </w:tbl>
    <w:p>
      <w:pPr>
        <w:spacing w:before="0" w:after="0"/>
      </w:pPr>
    </w:p>
    <w:p>
      <w:r>
        <w:t xml:space="preserve">Finanicijska imovina Općine Pićan na dan 31.12.2025. godine iznosi 445.304,29, a sastoji se od novca u banci i blagajni u iznosu od 170.011,31, potraživanja za jamčeven pologe i ostalo u iznosu od 9.450,78, dionica i udjela u glavnici u iznosu od 47.508,90, potraživanja od prihoda poslovanja u iznosu od 136.470,64 te potraživanja od prodaje nefinancisjke imovine u iznosu od  81.862,66.</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(šifre 23+24+25+26+27+29)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588.398,70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450.769,12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76,6</w:t>
            </w:r>
          </w:p>
        </w:tc>
      </w:tr>
    </w:tbl>
    <w:p>
      <w:pPr>
        <w:spacing w:before="0" w:after="0"/>
      </w:pPr>
    </w:p>
    <w:p>
      <w:r>
        <w:t xml:space="preserve">Stanje obveza na dan 31.12.2025. iznosi 450.769,12 eura, i to za rashode poslovanja stanje obveza iznosi 98.589,86, stanje obveza za nabavu nefinancijske imovine iznosi 25.204,43, obveze za kedite i zajmove 324.394,01 i obveze za predujmove, depozite, jamčevne pologe i tuđe prihode 2.580,79.</w:t>
      </w:r>
    </w:p>
    <w:p/>
    <w:p>
      <w:pPr>
        <w:jc w:val="center"/>
        <w:pStyle w:val="Normal"/>
        <w:spacing w:line="240" w:lineRule="auto"/>
        <w:keepNext/>
      </w:pPr>
      <w:r>
        <w:rPr>
          <w:b/>
          <w:sz w:val="28"/>
          <w:rFonts w:ascii="Times New Roman" w:hAnsi="Times New Roman"/>
        </w:rPr>
        <w:t xml:space="preserve">Izvještaj o rashodima prema funkcijskoj klasifikaciji</w:t>
      </w:r>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Kontrolni zbroj (šifre 01+02+03+04+05+06+07+08+09+10)</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1.442.699,01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1.896.677,58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131,5</w:t>
            </w:r>
          </w:p>
        </w:tc>
      </w:tr>
    </w:tbl>
    <w:p>
      <w:pPr>
        <w:spacing w:before="0" w:after="0"/>
      </w:pPr>
    </w:p>
    <w:p>
      <w:r>
        <w:t xml:space="preserve">Rashodi razreda 3 i 4 (bez izdataka) razvrstani su prema namjeni-funkciji. Ukupni rashodi RAS -funkcijski, šifra R1 iznose 1.896.677,58 i odgovaraju ukupnim rashodima PR-RAS obrasca Y034 - 367 = 2.356.767,58 - 460.090,00 = 1896.677,58</w:t>
      </w:r>
    </w:p>
    <w:p/>
    <w:p>
      <w:pPr>
        <w:jc w:val="center"/>
        <w:pStyle w:val="Normal"/>
        <w:spacing w:line="240" w:lineRule="auto"/>
        <w:keepNext/>
      </w:pPr>
      <w:r>
        <w:rPr>
          <w:b/>
          <w:sz w:val="28"/>
          <w:rFonts w:ascii="Times New Roman" w:hAnsi="Times New Roman"/>
        </w:rPr>
        <w:t xml:space="preserve">Promjene u vrijednosti i obujmu imovine i obveza</w:t>
      </w:r>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povećanja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smanjenja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Promjene u vrijednosti i obujmu imovine (šifre 91511+91512)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2025. godini nije bilo iskazanih povećanja i smanjenja u vrijednostima i obujmu imovine.</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1. siječnja (=stanju obveza iz Izvještaja o obvezama na 31. prosinca prethodne godine)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588.398,70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na dan 01. siječnja 2025. godine iznosilo je 588.398,70 eura. U njima je sadržana obveza za plaću 12.2024., a pored režijskih troškova za 12.2024., sadržane su i ostale obveze za rashode poslovanja, obveze za nabavu nefinancijske imovine i obveze za kredite. Obveze iz 2024. godine većim su dijelom podmirne u porvom tromjesečju 2025. godine.</w:t>
      </w:r>
    </w:p>
    <w:p>
      <w:r>
        <w:t xml:space="preserve">U toku 2025. godine obveze su povećane za 1.590.887,43 eura, a podmirne u iznosu od 1.728.517,01 eura. Obveze nastale tijekom 2025. godine podmirivane su prema valuti te je stanje obveza na dan 31.12.2025. iznosio 450.769,12 eura.</w:t>
      </w:r>
    </w:p>
    <w:p>
      <w:r>
        <w:t xml:space="preserve">Stanje obveza na dan 31.12.2025. godine u odnosu na 01.01.2025. gosine manji je za 137.629,58 eura, što je jedan jako dobar pkazatelj da općina dobro posluje te da svoje obveze redovno podmiruje.</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21.946,07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Ukupno stanje obveza na kraju izvještajnog razdoblja iznosilo je 450.769,12 eura, od toga na nedospjele obveze otpada 428.823,05 eura, a na dospjele 21.946,07. Dospjele obveze nisu podmirene u valuti plaćanja jer su računi pristizali još u siječnju s valtum plaćanja do 31.12.2025., međutim sve dospjele obveze na dan 31.12.2025. godine plaćene su u siječnju 2026. godine.</w:t>
      </w:r>
    </w:p>
    <w:p>
      <w:r>
        <w:t xml:space="preserve">Stanje dospjelih obveza na dan 31.12.2025. u ukupnom iznosu od 21.946,07 sastoji se od obveza za rashode poslovanja u iznosu od 12.579,57 eura, obveza za nabavu nefinancijske imovine u iznosu od 6.985,68 eura i obveza za predujmove, depozite, jamčevne pologe i tuđe prihode u iznosu od 2.380,79 eura i obveze za financijsku imovinu u iznosu od 0,03 eura.</w:t>
      </w:r>
    </w:p>
    <w:p>
      <w:r>
        <w:t xml:space="preserve">Stanje nedospjelih obveza na dan 31.12.2025. godine iznosi 428.823,05 eura, a sastoji se od obveza za rashode poslovanja u iznosu od 86.010,29, obveza za nabavu nefinancijske imovine u iznosu od 18.218,75, obveza za financijsku imovinu u iznosu od 324.394,01 i obveza za jamčevne pologe u iznosu od 200,00 erua.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3d541e1a0d80430c" /></Relationships>
</file>